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4A65" w14:textId="77777777" w:rsidR="003B4F14" w:rsidRDefault="005A4DB2" w:rsidP="005343F4">
      <w:pPr>
        <w:ind w:left="36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014AB8" wp14:editId="6C014AB9">
            <wp:extent cx="1752522" cy="11384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22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4A66" w14:textId="77777777" w:rsidR="003B4F14" w:rsidRDefault="003B4F14" w:rsidP="005343F4">
      <w:pPr>
        <w:pStyle w:val="BodyText"/>
        <w:spacing w:before="11"/>
        <w:rPr>
          <w:rFonts w:ascii="Times New Roman"/>
        </w:rPr>
      </w:pPr>
    </w:p>
    <w:p w14:paraId="04438325" w14:textId="77777777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North Carolina Association of Directors of Social Services</w:t>
      </w:r>
    </w:p>
    <w:p w14:paraId="2D0AD1F3" w14:textId="77777777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2026 Legislative Priorities</w:t>
      </w:r>
    </w:p>
    <w:p w14:paraId="132510E6" w14:textId="77777777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1. State Funding of the Additional 25% FNS Administrative Cost</w:t>
      </w:r>
    </w:p>
    <w:p w14:paraId="54676671" w14:textId="55A329C7" w:rsidR="009F6C0E" w:rsidRPr="00B872A3" w:rsidRDefault="009F6C0E" w:rsidP="005343F4">
      <w:pPr>
        <w:spacing w:after="160"/>
      </w:pPr>
      <w:r w:rsidRPr="00B872A3">
        <w:t>Federal legislation under H.R. 1 (July 2025) reduced the federal share of SNAP/Food and Nutrition Services (FNS) administrative funding from 50% to 25%, shifting the remaining cost burden to states and counties</w:t>
      </w:r>
      <w:r w:rsidR="00F01421">
        <w:t xml:space="preserve"> beginning on October 1, 2026</w:t>
      </w:r>
      <w:r w:rsidRPr="00B872A3">
        <w:t>.</w:t>
      </w:r>
    </w:p>
    <w:p w14:paraId="1DD1EA00" w14:textId="77777777" w:rsidR="009F6C0E" w:rsidRPr="00B872A3" w:rsidRDefault="009F6C0E" w:rsidP="005343F4">
      <w:pPr>
        <w:spacing w:after="160"/>
      </w:pPr>
      <w:r w:rsidRPr="00B872A3">
        <w:t>In North Carolina, FNS is locally administered under the supervision of the North Carolina Department of Health and Human Services (DHHS).</w:t>
      </w:r>
    </w:p>
    <w:p w14:paraId="190AB986" w14:textId="77777777" w:rsidR="009F6C0E" w:rsidRPr="00B872A3" w:rsidRDefault="009F6C0E" w:rsidP="005343F4">
      <w:pPr>
        <w:spacing w:after="160"/>
      </w:pPr>
      <w:r w:rsidRPr="00B872A3">
        <w:t>County Impact</w:t>
      </w:r>
    </w:p>
    <w:p w14:paraId="721871C2" w14:textId="514F4164" w:rsidR="009F6C0E" w:rsidRPr="00F64D33" w:rsidRDefault="009F6C0E" w:rsidP="005343F4">
      <w:pPr>
        <w:widowControl/>
        <w:numPr>
          <w:ilvl w:val="0"/>
          <w:numId w:val="2"/>
        </w:numPr>
        <w:autoSpaceDE/>
        <w:autoSpaceDN/>
        <w:spacing w:after="160"/>
      </w:pPr>
      <w:r w:rsidRPr="00F64D33">
        <w:t xml:space="preserve">The added 25% administrative burden represents </w:t>
      </w:r>
      <w:r w:rsidR="00F64D33" w:rsidRPr="00F64D33">
        <w:t>an estimated</w:t>
      </w:r>
      <w:r w:rsidR="00F64D33">
        <w:t xml:space="preserve"> </w:t>
      </w:r>
      <w:r w:rsidR="006A3B9D" w:rsidRPr="00F64D33">
        <w:t xml:space="preserve">$69 million impact to counties.  </w:t>
      </w:r>
    </w:p>
    <w:p w14:paraId="2ED101EF" w14:textId="77777777" w:rsidR="009F6C0E" w:rsidRPr="00B872A3" w:rsidRDefault="009F6C0E" w:rsidP="005343F4">
      <w:pPr>
        <w:widowControl/>
        <w:numPr>
          <w:ilvl w:val="0"/>
          <w:numId w:val="2"/>
        </w:numPr>
        <w:autoSpaceDE/>
        <w:autoSpaceDN/>
        <w:spacing w:after="160"/>
      </w:pPr>
      <w:r w:rsidRPr="00B872A3">
        <w:t xml:space="preserve">Larger counties face substantial dollar increases due to </w:t>
      </w:r>
      <w:r>
        <w:t>larger administrative burden and caseloads</w:t>
      </w:r>
      <w:r w:rsidRPr="00B872A3">
        <w:t>.</w:t>
      </w:r>
    </w:p>
    <w:p w14:paraId="2343FB61" w14:textId="77777777" w:rsidR="009F6C0E" w:rsidRPr="00B872A3" w:rsidRDefault="009F6C0E" w:rsidP="005343F4">
      <w:pPr>
        <w:widowControl/>
        <w:numPr>
          <w:ilvl w:val="0"/>
          <w:numId w:val="2"/>
        </w:numPr>
        <w:autoSpaceDE/>
        <w:autoSpaceDN/>
        <w:spacing w:after="160"/>
      </w:pPr>
      <w:r w:rsidRPr="00B872A3">
        <w:t>Rural counties face disproportionate hardship due to limited tax bases.</w:t>
      </w:r>
    </w:p>
    <w:p w14:paraId="020F6BA5" w14:textId="425C63F7" w:rsidR="009F6C0E" w:rsidRPr="00143F17" w:rsidRDefault="009F6C0E" w:rsidP="005343F4">
      <w:pPr>
        <w:widowControl/>
        <w:numPr>
          <w:ilvl w:val="0"/>
          <w:numId w:val="2"/>
        </w:numPr>
        <w:autoSpaceDE/>
        <w:autoSpaceDN/>
        <w:spacing w:after="160"/>
      </w:pPr>
      <w:r w:rsidRPr="00B872A3">
        <w:t xml:space="preserve">Without state </w:t>
      </w:r>
      <w:r w:rsidRPr="00143F17">
        <w:t xml:space="preserve">funding, counties </w:t>
      </w:r>
      <w:r w:rsidR="006A3B9D" w:rsidRPr="00143F17">
        <w:t>may possibly have to</w:t>
      </w:r>
      <w:r w:rsidRPr="00143F17">
        <w:t xml:space="preserve"> reduce staffing or reallocate local funds.</w:t>
      </w:r>
    </w:p>
    <w:p w14:paraId="330E6B54" w14:textId="77777777" w:rsidR="00BA77ED" w:rsidRPr="00BA77ED" w:rsidRDefault="00BA77ED" w:rsidP="00BA77ED">
      <w:pPr>
        <w:spacing w:after="160"/>
        <w:rPr>
          <w:b/>
          <w:bCs/>
          <w:u w:val="single"/>
        </w:rPr>
      </w:pPr>
      <w:r w:rsidRPr="00BA77ED">
        <w:rPr>
          <w:b/>
          <w:bCs/>
          <w:u w:val="single"/>
        </w:rPr>
        <w:t xml:space="preserve">NCACDSS recommends the following legislative action: </w:t>
      </w:r>
    </w:p>
    <w:p w14:paraId="464094E7" w14:textId="513ACFDA" w:rsidR="00F64D33" w:rsidRDefault="009F6C0E" w:rsidP="005343F4">
      <w:pPr>
        <w:widowControl/>
        <w:numPr>
          <w:ilvl w:val="0"/>
          <w:numId w:val="3"/>
        </w:numPr>
        <w:autoSpaceDE/>
        <w:autoSpaceDN/>
        <w:spacing w:after="160"/>
      </w:pPr>
      <w:r w:rsidRPr="00B872A3">
        <w:t>Fully fund the additional 25% administrative share on a recurring basis.</w:t>
      </w:r>
    </w:p>
    <w:p w14:paraId="2A5BAB37" w14:textId="2FA3A865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2. Maintaining SNAP</w:t>
      </w:r>
      <w:r w:rsidR="008D2839">
        <w:rPr>
          <w:b/>
          <w:bCs/>
        </w:rPr>
        <w:t>/FNS</w:t>
      </w:r>
      <w:r w:rsidRPr="00B872A3">
        <w:rPr>
          <w:b/>
          <w:bCs/>
        </w:rPr>
        <w:t xml:space="preserve"> in North Carolina</w:t>
      </w:r>
    </w:p>
    <w:p w14:paraId="128440FF" w14:textId="0C08B482" w:rsidR="009F6C0E" w:rsidRDefault="009F6C0E" w:rsidP="005343F4">
      <w:pPr>
        <w:spacing w:after="160"/>
      </w:pPr>
      <w:r w:rsidRPr="00B872A3">
        <w:t>The Supplemental Nutrition Assistance Program (SNAP), known in North Carolina as Food and Nutrition Services (FNS), is one of the most effective anti-poverty programs in the nation.</w:t>
      </w:r>
      <w:r w:rsidR="00DA62F3">
        <w:t xml:space="preserve"> On October 1, 2027 as a result of H.R. 1 states will be responsible for a benefit share percentage if </w:t>
      </w:r>
      <w:r w:rsidR="007408C7">
        <w:t xml:space="preserve">their payment error rate is above 6%.  As of FFY 2025 North Carolina’s error rate was 7.01% which would result in </w:t>
      </w:r>
      <w:r w:rsidR="008D2839">
        <w:t xml:space="preserve">a cost share by the state of </w:t>
      </w:r>
      <w:r w:rsidR="002B2FE7">
        <w:t>approximately $1</w:t>
      </w:r>
      <w:r w:rsidR="008376E0">
        <w:t>51</w:t>
      </w:r>
      <w:r w:rsidR="002B2FE7">
        <w:t xml:space="preserve"> million. </w:t>
      </w:r>
    </w:p>
    <w:p w14:paraId="5E5429F9" w14:textId="2B2C2D73" w:rsidR="00260409" w:rsidRDefault="00206B0C" w:rsidP="005343F4">
      <w:pPr>
        <w:spacing w:after="160"/>
      </w:pPr>
      <w:r>
        <w:t xml:space="preserve">FNS </w:t>
      </w:r>
      <w:r w:rsidR="0097340C">
        <w:t xml:space="preserve">distributed </w:t>
      </w:r>
      <w:r w:rsidR="007C43F4">
        <w:t xml:space="preserve">$3,017,828,894 in benefits in Federal Fiscal Year </w:t>
      </w:r>
      <w:r w:rsidR="00E62709">
        <w:t xml:space="preserve">2025 while serving </w:t>
      </w:r>
      <w:r w:rsidR="007B497A">
        <w:t>1,</w:t>
      </w:r>
      <w:r w:rsidR="00260409">
        <w:t xml:space="preserve">864,563 individuals and 1,120,721 households in North Carolina during this same period.  </w:t>
      </w:r>
      <w:r w:rsidR="00564F3D">
        <w:t xml:space="preserve">The program also served over </w:t>
      </w:r>
      <w:r w:rsidR="00FD2F35">
        <w:t xml:space="preserve">46,000 veterans during this time period.  </w:t>
      </w:r>
    </w:p>
    <w:p w14:paraId="3F99B939" w14:textId="746F8653" w:rsidR="009F6C0E" w:rsidRPr="00B872A3" w:rsidRDefault="003A3CBE" w:rsidP="00D83FAD">
      <w:pPr>
        <w:widowControl/>
        <w:autoSpaceDE/>
        <w:autoSpaceDN/>
        <w:spacing w:after="160"/>
      </w:pPr>
      <w:r>
        <w:t>- SNAP Benefits g</w:t>
      </w:r>
      <w:r w:rsidR="009F6C0E" w:rsidRPr="00B872A3">
        <w:t>enerates economic activity in grocery stores and rural communities</w:t>
      </w:r>
      <w:r>
        <w:t xml:space="preserve"> in the amount of almost 4.2 billion dollars. </w:t>
      </w:r>
    </w:p>
    <w:p w14:paraId="1D73732C" w14:textId="77777777" w:rsidR="00BA77ED" w:rsidRPr="00BA77ED" w:rsidRDefault="00BA77ED" w:rsidP="00BA77ED">
      <w:pPr>
        <w:spacing w:after="160"/>
        <w:rPr>
          <w:b/>
          <w:bCs/>
          <w:u w:val="single"/>
        </w:rPr>
      </w:pPr>
      <w:r w:rsidRPr="00BA77ED">
        <w:rPr>
          <w:b/>
          <w:bCs/>
          <w:u w:val="single"/>
        </w:rPr>
        <w:t xml:space="preserve">NCACDSS recommends the following legislative action: </w:t>
      </w:r>
    </w:p>
    <w:p w14:paraId="61FD9EB7" w14:textId="7A741E00" w:rsidR="00DA62F3" w:rsidRDefault="003227B0" w:rsidP="005343F4">
      <w:pPr>
        <w:widowControl/>
        <w:numPr>
          <w:ilvl w:val="0"/>
          <w:numId w:val="6"/>
        </w:numPr>
        <w:autoSpaceDE/>
        <w:autoSpaceDN/>
        <w:spacing w:after="160"/>
      </w:pPr>
      <w:r>
        <w:t xml:space="preserve">For the state to fund any cost of the benefits related to payment error rate. </w:t>
      </w:r>
    </w:p>
    <w:p w14:paraId="11F5F683" w14:textId="5A7A1F6B" w:rsidR="009F6C0E" w:rsidRDefault="009F6C0E" w:rsidP="005343F4">
      <w:pPr>
        <w:widowControl/>
        <w:numPr>
          <w:ilvl w:val="0"/>
          <w:numId w:val="6"/>
        </w:numPr>
        <w:autoSpaceDE/>
        <w:autoSpaceDN/>
        <w:spacing w:after="160"/>
      </w:pPr>
      <w:r w:rsidRPr="00B872A3">
        <w:t>Invest in modernization to improve timeliness</w:t>
      </w:r>
      <w:r w:rsidR="003227B0">
        <w:t xml:space="preserve">, </w:t>
      </w:r>
      <w:r w:rsidRPr="00B872A3">
        <w:t>accuracy</w:t>
      </w:r>
      <w:r w:rsidR="003227B0">
        <w:t>, and reduce the payment error rate</w:t>
      </w:r>
      <w:r w:rsidR="00F07DB8">
        <w:t xml:space="preserve"> as outlined in our letter regarding H.R. 1 dated </w:t>
      </w:r>
      <w:r w:rsidR="003D0740">
        <w:t xml:space="preserve">February 13, 2026. </w:t>
      </w:r>
    </w:p>
    <w:p w14:paraId="15F3FAE2" w14:textId="77777777" w:rsidR="003D0740" w:rsidRPr="00B872A3" w:rsidRDefault="003D0740" w:rsidP="003D0740">
      <w:pPr>
        <w:widowControl/>
        <w:autoSpaceDE/>
        <w:autoSpaceDN/>
        <w:spacing w:after="160"/>
        <w:ind w:left="720"/>
      </w:pPr>
    </w:p>
    <w:p w14:paraId="7988C147" w14:textId="5950DEDF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3. Funding for Guardianship and Adult Protective Services (APS)</w:t>
      </w:r>
    </w:p>
    <w:p w14:paraId="53BE7A76" w14:textId="77777777" w:rsidR="009F6C0E" w:rsidRPr="00B872A3" w:rsidRDefault="009F6C0E" w:rsidP="005343F4">
      <w:pPr>
        <w:spacing w:after="160"/>
      </w:pPr>
      <w:r w:rsidRPr="00B872A3">
        <w:lastRenderedPageBreak/>
        <w:t>County DSS agencies serve as guardians for thousands of vulnerable adults and carry statutory responsibility for Adult Protective Services investigations.</w:t>
      </w:r>
    </w:p>
    <w:p w14:paraId="4D6CF54E" w14:textId="6BFB5E85" w:rsidR="009F6C0E" w:rsidRDefault="009F6C0E" w:rsidP="005343F4">
      <w:pPr>
        <w:spacing w:after="160"/>
      </w:pPr>
      <w:r w:rsidRPr="000E5EEB">
        <w:t>Services operate under oversight of the North Carolina Department of Health and Human Services but are largely funded at the county level.</w:t>
      </w:r>
      <w:r w:rsidR="00EB0CEE" w:rsidRPr="000E5EEB">
        <w:t xml:space="preserve">  In FY 25 the county funded these services at </w:t>
      </w:r>
      <w:r w:rsidR="00542D1F" w:rsidRPr="000E5EEB">
        <w:t>70.</w:t>
      </w:r>
      <w:r w:rsidR="006C261C" w:rsidRPr="000E5EEB">
        <w:t>43</w:t>
      </w:r>
      <w:r w:rsidR="00EB0CEE" w:rsidRPr="000E5EEB">
        <w:t>%</w:t>
      </w:r>
      <w:r w:rsidR="00807C5B" w:rsidRPr="000E5EEB">
        <w:t xml:space="preserve"> ($</w:t>
      </w:r>
      <w:r w:rsidR="006C261C" w:rsidRPr="000E5EEB">
        <w:t>143,407,934</w:t>
      </w:r>
      <w:r w:rsidR="00807C5B" w:rsidRPr="000E5EEB">
        <w:t>)</w:t>
      </w:r>
      <w:r w:rsidR="00EB0CEE" w:rsidRPr="000E5EEB">
        <w:t xml:space="preserve"> of all claimed costs while the state percentage was 1.</w:t>
      </w:r>
      <w:r w:rsidR="00542D1F" w:rsidRPr="000E5EEB">
        <w:t>19</w:t>
      </w:r>
      <w:r w:rsidR="00EB0CEE" w:rsidRPr="000E5EEB">
        <w:t>% (</w:t>
      </w:r>
      <w:r w:rsidR="00542D1F" w:rsidRPr="000E5EEB">
        <w:t>$2,428,405</w:t>
      </w:r>
      <w:r w:rsidR="00807C5B" w:rsidRPr="000E5EEB">
        <w:t xml:space="preserve">).  If budgets were spent to 100% of budgeted expenses the county </w:t>
      </w:r>
      <w:r w:rsidR="00F71D7B" w:rsidRPr="000E5EEB">
        <w:t>spending percentages would increase while the state percentage would decrease.</w:t>
      </w:r>
      <w:r w:rsidR="00F71D7B">
        <w:t xml:space="preserve"> </w:t>
      </w:r>
    </w:p>
    <w:p w14:paraId="0F76E576" w14:textId="77777777" w:rsidR="00F95F91" w:rsidRDefault="00F95F91" w:rsidP="00F95F91">
      <w:pPr>
        <w:pStyle w:val="ListParagraph"/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</w:pPr>
      <w:r>
        <w:t xml:space="preserve">Vulnerable Adults who are subject to abuse, neglect and exploitation and/or those who have lost </w:t>
      </w:r>
      <w:proofErr w:type="gramStart"/>
      <w:r>
        <w:t>competency</w:t>
      </w:r>
      <w:proofErr w:type="gramEnd"/>
      <w:r>
        <w:t xml:space="preserve"> and are not able to care not make appropriate decisions for themselves.  </w:t>
      </w:r>
    </w:p>
    <w:p w14:paraId="5F4D9FB4" w14:textId="77777777" w:rsidR="00F95F91" w:rsidRDefault="00F95F91" w:rsidP="00F95F91">
      <w:pPr>
        <w:pStyle w:val="ListParagraph"/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</w:pPr>
      <w:r>
        <w:t xml:space="preserve">Local DSS agencies increasingly are having to intervene in these matters related to adults.  We see the following challenges with serving this population: </w:t>
      </w:r>
    </w:p>
    <w:p w14:paraId="3FF4B34D" w14:textId="77777777" w:rsidR="00F95F91" w:rsidRDefault="00F95F91" w:rsidP="00F95F91">
      <w:pPr>
        <w:pStyle w:val="ListParagraph"/>
        <w:widowControl/>
        <w:numPr>
          <w:ilvl w:val="1"/>
          <w:numId w:val="24"/>
        </w:numPr>
        <w:autoSpaceDE/>
        <w:autoSpaceDN/>
        <w:spacing w:after="160" w:line="259" w:lineRule="auto"/>
        <w:contextualSpacing/>
      </w:pPr>
      <w:r>
        <w:t xml:space="preserve">Inability to develop additional resources to address the complex mental and physical health needs of this population.  </w:t>
      </w:r>
    </w:p>
    <w:p w14:paraId="298F74EE" w14:textId="77777777" w:rsidR="00F95F91" w:rsidRDefault="00F95F91" w:rsidP="00F95F91">
      <w:pPr>
        <w:pStyle w:val="ListParagraph"/>
        <w:widowControl/>
        <w:numPr>
          <w:ilvl w:val="1"/>
          <w:numId w:val="24"/>
        </w:numPr>
        <w:autoSpaceDE/>
        <w:autoSpaceDN/>
        <w:spacing w:after="160" w:line="259" w:lineRule="auto"/>
        <w:contextualSpacing/>
      </w:pPr>
      <w:r>
        <w:t xml:space="preserve">Having adequate resources to assist in the payment for placement of individuals in these programs. </w:t>
      </w:r>
    </w:p>
    <w:p w14:paraId="7F858DC6" w14:textId="77777777" w:rsidR="00F95F91" w:rsidRDefault="00F95F91" w:rsidP="00F95F91">
      <w:pPr>
        <w:pStyle w:val="ListParagraph"/>
        <w:widowControl/>
        <w:numPr>
          <w:ilvl w:val="1"/>
          <w:numId w:val="24"/>
        </w:numPr>
        <w:autoSpaceDE/>
        <w:autoSpaceDN/>
        <w:spacing w:after="160" w:line="259" w:lineRule="auto"/>
        <w:contextualSpacing/>
      </w:pPr>
      <w:r>
        <w:t xml:space="preserve">Having adequate resources to fund essential needs and services of those whom local county department of social services has the statutory responsibility of caring for.  </w:t>
      </w:r>
    </w:p>
    <w:p w14:paraId="25FC73C7" w14:textId="1DDDF9FD" w:rsidR="00F95F91" w:rsidRDefault="00F95F91" w:rsidP="00F95F91">
      <w:pPr>
        <w:pStyle w:val="ListParagraph"/>
        <w:widowControl/>
        <w:numPr>
          <w:ilvl w:val="1"/>
          <w:numId w:val="24"/>
        </w:numPr>
        <w:autoSpaceDE/>
        <w:autoSpaceDN/>
        <w:spacing w:after="160" w:line="259" w:lineRule="auto"/>
        <w:contextualSpacing/>
      </w:pPr>
      <w:r>
        <w:t xml:space="preserve">Rapidly growing caseloads in each of these areas. </w:t>
      </w:r>
    </w:p>
    <w:p w14:paraId="36F6EAD4" w14:textId="0663F484" w:rsidR="009F6C0E" w:rsidRPr="00BA77ED" w:rsidRDefault="00BA77ED" w:rsidP="005343F4">
      <w:pPr>
        <w:spacing w:after="160"/>
        <w:rPr>
          <w:b/>
          <w:bCs/>
          <w:u w:val="single"/>
        </w:rPr>
      </w:pPr>
      <w:r>
        <w:rPr>
          <w:b/>
          <w:bCs/>
          <w:u w:val="single"/>
        </w:rPr>
        <w:t xml:space="preserve">NCACDSS recommends the following legislative action: </w:t>
      </w:r>
    </w:p>
    <w:p w14:paraId="399BA4E7" w14:textId="58AC7E5F" w:rsidR="009F6C0E" w:rsidRPr="000E5EEB" w:rsidRDefault="009F6C0E" w:rsidP="005343F4">
      <w:pPr>
        <w:widowControl/>
        <w:numPr>
          <w:ilvl w:val="0"/>
          <w:numId w:val="8"/>
        </w:numPr>
        <w:autoSpaceDE/>
        <w:autoSpaceDN/>
        <w:spacing w:after="160"/>
      </w:pPr>
      <w:r w:rsidRPr="000E5EEB">
        <w:t>Increase recurring state funding for public guardianship.</w:t>
      </w:r>
      <w:r w:rsidR="00F71D7B" w:rsidRPr="000E5EEB">
        <w:t xml:space="preserve"> We would propose $</w:t>
      </w:r>
      <w:r w:rsidR="006C261C" w:rsidRPr="000E5EEB">
        <w:t>5</w:t>
      </w:r>
      <w:r w:rsidR="00F71D7B" w:rsidRPr="000E5EEB">
        <w:t>0,000,000 in recurring funding</w:t>
      </w:r>
      <w:r w:rsidR="007B21D9" w:rsidRPr="000E5EEB">
        <w:t xml:space="preserve">. </w:t>
      </w:r>
    </w:p>
    <w:p w14:paraId="2311FC40" w14:textId="45933193" w:rsidR="009F6C0E" w:rsidRPr="00B872A3" w:rsidRDefault="009F6C0E" w:rsidP="005343F4">
      <w:pPr>
        <w:widowControl/>
        <w:numPr>
          <w:ilvl w:val="0"/>
          <w:numId w:val="8"/>
        </w:numPr>
        <w:autoSpaceDE/>
        <w:autoSpaceDN/>
        <w:spacing w:after="160"/>
      </w:pPr>
      <w:r w:rsidRPr="00B872A3">
        <w:t>Adjust APS funding formulas to reflect caseload growth and complexity.</w:t>
      </w:r>
      <w:r w:rsidR="007B21D9">
        <w:t xml:space="preserve">  </w:t>
      </w:r>
    </w:p>
    <w:p w14:paraId="4ADF35F9" w14:textId="5051D9D8" w:rsidR="009F6C0E" w:rsidRDefault="009F6C0E" w:rsidP="00502278">
      <w:pPr>
        <w:spacing w:after="160"/>
      </w:pPr>
      <w:r w:rsidRPr="00B872A3">
        <w:rPr>
          <w:b/>
          <w:bCs/>
        </w:rPr>
        <w:t>4. Child Welfare Workload Study Funding</w:t>
      </w:r>
    </w:p>
    <w:p w14:paraId="4B43E6E7" w14:textId="3E60FDA9" w:rsidR="00BB31FF" w:rsidRDefault="003337C4" w:rsidP="005343F4">
      <w:pPr>
        <w:widowControl/>
        <w:autoSpaceDE/>
        <w:autoSpaceDN/>
        <w:spacing w:after="160"/>
        <w:contextualSpacing/>
      </w:pPr>
      <w:r>
        <w:t>North Carolina’s current caseload standards were adopted over 20 years ago.  In 2016 a study was conducted and recommended a workload study (</w:t>
      </w:r>
      <w:hyperlink r:id="rId6" w:history="1">
        <w:r w:rsidRPr="00D5217A">
          <w:rPr>
            <w:rStyle w:val="Hyperlink"/>
          </w:rPr>
          <w:t>https://www.ncleg.gov/Files/Library/agency/dhhs15203.pdf</w:t>
        </w:r>
      </w:hyperlink>
      <w:r>
        <w:t xml:space="preserve">, p. 15).  That workload study was completed in October 2023. </w:t>
      </w:r>
      <w:r w:rsidR="00BF01D8">
        <w:t xml:space="preserve"> (</w:t>
      </w:r>
      <w:hyperlink r:id="rId7" w:history="1">
        <w:r w:rsidR="00BF01D8" w:rsidRPr="00D5217A">
          <w:rPr>
            <w:rStyle w:val="Hyperlink"/>
          </w:rPr>
          <w:t>https://www.google.com/search?q=North+Carolina+Child+Welfare+Caseload+Standards&amp;rlz=1C1GCEU_enUS1073US1073&amp;oq=North+Carolina+Child+Welfare+Caseload+Standards&amp;gs_lcrp=EgZjaHJvbWUyCQgAEEUYORigATIHCAEQIRigATIHCAIQIRigAdIBCDc2MTRqMGo3qAIIsAIB&amp;sourceid=chrome&amp;ie=UTF-8</w:t>
        </w:r>
      </w:hyperlink>
      <w:r w:rsidR="00BF01D8">
        <w:t xml:space="preserve">). </w:t>
      </w:r>
      <w:r w:rsidR="00BB31FF">
        <w:t xml:space="preserve"> The workload study found that caseload standards were between 40% and 100% higher than they should be depending upon the program (assessments, in home and Foster Care) and county size (small, medium, large).  </w:t>
      </w:r>
    </w:p>
    <w:p w14:paraId="2E8A4AD5" w14:textId="77777777" w:rsidR="000D749F" w:rsidRDefault="000D749F" w:rsidP="005343F4">
      <w:pPr>
        <w:widowControl/>
        <w:autoSpaceDE/>
        <w:autoSpaceDN/>
        <w:spacing w:after="160"/>
        <w:contextualSpacing/>
      </w:pPr>
    </w:p>
    <w:p w14:paraId="4646157C" w14:textId="5A99DD88" w:rsidR="003337C4" w:rsidRDefault="008A7841" w:rsidP="00720E12">
      <w:pPr>
        <w:widowControl/>
        <w:autoSpaceDE/>
        <w:autoSpaceDN/>
        <w:spacing w:after="160"/>
        <w:contextualSpacing/>
      </w:pPr>
      <w:r>
        <w:t xml:space="preserve">In FY </w:t>
      </w:r>
      <w:r w:rsidR="0081320B">
        <w:t>24</w:t>
      </w:r>
      <w:r>
        <w:t>-2</w:t>
      </w:r>
      <w:r w:rsidR="0081320B">
        <w:t>5</w:t>
      </w:r>
      <w:r>
        <w:t xml:space="preserve"> $</w:t>
      </w:r>
      <w:r w:rsidR="0081320B">
        <w:t>858,102,844</w:t>
      </w:r>
      <w:r>
        <w:t xml:space="preserve"> was claimed for child welfare administrative funding.  Of that funding $</w:t>
      </w:r>
      <w:r w:rsidR="00671E07">
        <w:t>26,013,727.12 (3.03%)</w:t>
      </w:r>
      <w:r>
        <w:t xml:space="preserve"> was provided by the state and $</w:t>
      </w:r>
      <w:r w:rsidR="00671E07">
        <w:t>512,439,</w:t>
      </w:r>
      <w:r w:rsidR="00616674">
        <w:t>843.20 (59.72%)</w:t>
      </w:r>
      <w:r>
        <w:t xml:space="preserve"> was county funding.   These costs were only those reported and did not include vacant positions for which salaries were not paid. </w:t>
      </w:r>
    </w:p>
    <w:p w14:paraId="03F2EE44" w14:textId="77777777" w:rsidR="00720E12" w:rsidRDefault="00720E12" w:rsidP="00720E12">
      <w:pPr>
        <w:widowControl/>
        <w:autoSpaceDE/>
        <w:autoSpaceDN/>
        <w:spacing w:after="160"/>
        <w:contextualSpacing/>
      </w:pPr>
    </w:p>
    <w:p w14:paraId="0385A924" w14:textId="13A2FA4A" w:rsidR="008D154D" w:rsidRDefault="009F6C0E" w:rsidP="00CC6475">
      <w:pPr>
        <w:spacing w:after="160"/>
      </w:pPr>
      <w:r w:rsidRPr="00B872A3">
        <w:t xml:space="preserve">Child welfare services have grown more complex due </w:t>
      </w:r>
      <w:r w:rsidR="00B20E5D">
        <w:t>many factors including but not limited to</w:t>
      </w:r>
      <w:r w:rsidR="00CC6475">
        <w:t>, an increase s</w:t>
      </w:r>
      <w:r w:rsidRPr="00B872A3">
        <w:t xml:space="preserve">ubstance </w:t>
      </w:r>
      <w:r w:rsidR="007E34E7">
        <w:t>mis</w:t>
      </w:r>
      <w:r w:rsidRPr="00B872A3">
        <w:t>use disorders</w:t>
      </w:r>
      <w:r w:rsidR="00CC6475">
        <w:t>, complex b</w:t>
      </w:r>
      <w:r w:rsidRPr="00B872A3">
        <w:t>ehavioral health needs</w:t>
      </w:r>
      <w:r w:rsidR="00CC6475">
        <w:t xml:space="preserve"> of foster children and families, i</w:t>
      </w:r>
      <w:r w:rsidRPr="00B872A3">
        <w:t>ncreased documentation</w:t>
      </w:r>
      <w:r w:rsidR="00CC6475">
        <w:t xml:space="preserve">, increased state and </w:t>
      </w:r>
      <w:r w:rsidRPr="00B872A3">
        <w:t>federal compliance requirements</w:t>
      </w:r>
      <w:r w:rsidR="00CC6475">
        <w:t>,  and foster care pl</w:t>
      </w:r>
      <w:r w:rsidRPr="00B872A3">
        <w:t>acement instability and provider shortages</w:t>
      </w:r>
      <w:r w:rsidR="00CC6475">
        <w:t xml:space="preserve">. </w:t>
      </w:r>
    </w:p>
    <w:p w14:paraId="6E90C5EA" w14:textId="3E54C7A8" w:rsidR="009F6C0E" w:rsidRPr="00B872A3" w:rsidRDefault="00CC6475" w:rsidP="00860780">
      <w:pPr>
        <w:widowControl/>
        <w:autoSpaceDE/>
        <w:autoSpaceDN/>
        <w:spacing w:after="160"/>
      </w:pPr>
      <w:r>
        <w:t>Hi</w:t>
      </w:r>
      <w:r w:rsidR="009F6C0E" w:rsidRPr="00B872A3">
        <w:t>gh caseloads increase risk to child safety</w:t>
      </w:r>
      <w:r>
        <w:t xml:space="preserve"> and </w:t>
      </w:r>
      <w:r w:rsidR="00860780">
        <w:t>are directly linked to s</w:t>
      </w:r>
      <w:r w:rsidR="009F6C0E" w:rsidRPr="00B872A3">
        <w:t xml:space="preserve">taff turnover </w:t>
      </w:r>
      <w:r w:rsidR="00860780">
        <w:t>in child welfare due to the work pressures related to this job.  These result in ongoing challenges related to the r</w:t>
      </w:r>
      <w:r w:rsidR="009F6C0E" w:rsidRPr="00B872A3">
        <w:t xml:space="preserve">ecruitment and retention of qualified social workers </w:t>
      </w:r>
      <w:r w:rsidR="00860780">
        <w:t>in this field</w:t>
      </w:r>
      <w:r w:rsidR="009F6C0E" w:rsidRPr="00B872A3">
        <w:t>.</w:t>
      </w:r>
    </w:p>
    <w:p w14:paraId="10ADC8C0" w14:textId="77777777" w:rsidR="00BA77ED" w:rsidRPr="00BA77ED" w:rsidRDefault="00BA77ED" w:rsidP="00BA77ED">
      <w:pPr>
        <w:spacing w:after="160"/>
        <w:rPr>
          <w:b/>
          <w:bCs/>
          <w:u w:val="single"/>
        </w:rPr>
      </w:pPr>
      <w:r>
        <w:rPr>
          <w:b/>
          <w:bCs/>
          <w:u w:val="single"/>
        </w:rPr>
        <w:t xml:space="preserve">NCACDSS recommends the following legislative action: </w:t>
      </w:r>
    </w:p>
    <w:p w14:paraId="47E81D7D" w14:textId="61E6DE1C" w:rsidR="009F6C0E" w:rsidRPr="00B872A3" w:rsidRDefault="00860780" w:rsidP="005343F4">
      <w:pPr>
        <w:spacing w:after="160"/>
      </w:pPr>
      <w:r>
        <w:lastRenderedPageBreak/>
        <w:t>Provide recurring funding</w:t>
      </w:r>
      <w:r w:rsidR="009F6C0E" w:rsidRPr="00B872A3">
        <w:t xml:space="preserve"> </w:t>
      </w:r>
      <w:r w:rsidR="009F6C0E">
        <w:t xml:space="preserve">the county needs for increased social worker staff, supervisors and administrators based on the recommendations from the workload study and NCACDSS work in analyzing the specific </w:t>
      </w:r>
      <w:proofErr w:type="gramStart"/>
      <w:r w:rsidR="009F6C0E">
        <w:t>counties</w:t>
      </w:r>
      <w:proofErr w:type="gramEnd"/>
      <w:r w:rsidR="009F6C0E">
        <w:t xml:space="preserve"> needs and cost. </w:t>
      </w:r>
      <w:r w:rsidR="00DA7589">
        <w:t xml:space="preserve"> Based upon feedback of Association Directors funding would be required in the amount of …….</w:t>
      </w:r>
    </w:p>
    <w:p w14:paraId="2EC0193B" w14:textId="51DDBAA2" w:rsidR="009F6C0E" w:rsidRPr="00B872A3" w:rsidRDefault="00BA77ED" w:rsidP="00DA7589">
      <w:pPr>
        <w:widowControl/>
        <w:autoSpaceDE/>
        <w:autoSpaceDN/>
        <w:spacing w:after="160"/>
      </w:pPr>
      <w:r>
        <w:t>Legislatively mandate</w:t>
      </w:r>
      <w:r w:rsidR="009F6C0E" w:rsidRPr="00B872A3">
        <w:t xml:space="preserve"> </w:t>
      </w:r>
      <w:r w:rsidR="009F6C0E">
        <w:t>s</w:t>
      </w:r>
      <w:r w:rsidR="009F6C0E" w:rsidRPr="00B872A3">
        <w:t>taffing ratios</w:t>
      </w:r>
      <w:r w:rsidR="009F6C0E">
        <w:t xml:space="preserve"> based off of the workload study</w:t>
      </w:r>
      <w:r w:rsidR="008D154D">
        <w:t xml:space="preserve"> </w:t>
      </w:r>
      <w:r>
        <w:t xml:space="preserve">with legislation requiring additional studies every 10 years. </w:t>
      </w:r>
    </w:p>
    <w:p w14:paraId="182B7387" w14:textId="77777777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5. NC FAST Technology Enhancements</w:t>
      </w:r>
    </w:p>
    <w:p w14:paraId="55FBB225" w14:textId="77777777" w:rsidR="009F6C0E" w:rsidRPr="00B872A3" w:rsidRDefault="009F6C0E" w:rsidP="005343F4">
      <w:pPr>
        <w:spacing w:after="160"/>
      </w:pPr>
      <w:r w:rsidRPr="00B872A3">
        <w:t>(NC FAST – North Carolina Families Accessing Services through Technology)</w:t>
      </w:r>
    </w:p>
    <w:p w14:paraId="5253A638" w14:textId="77777777" w:rsidR="009F6C0E" w:rsidRPr="00B872A3" w:rsidRDefault="009F6C0E" w:rsidP="005343F4">
      <w:pPr>
        <w:spacing w:after="160"/>
      </w:pPr>
      <w:r w:rsidRPr="00B872A3">
        <w:t>NC FAST is the technology platform supporting Medicaid, FNS, Work First, Child Welfare, and other programs administered through the North Carolina Department of Health and Human Services.</w:t>
      </w:r>
    </w:p>
    <w:p w14:paraId="59B627AC" w14:textId="53051F55" w:rsidR="009F6C0E" w:rsidRPr="00B872A3" w:rsidRDefault="00A56F8E" w:rsidP="005343F4">
      <w:pPr>
        <w:spacing w:after="160"/>
      </w:pPr>
      <w:r>
        <w:t xml:space="preserve">The NC FAST system has been </w:t>
      </w:r>
      <w:r w:rsidR="00C112BB">
        <w:t xml:space="preserve">dogged by systemic issues </w:t>
      </w:r>
      <w:r w:rsidR="00E74D5D">
        <w:t>and an inability to gain the level of user compatibility since its inception in 2012.  This directly results in th</w:t>
      </w:r>
      <w:r w:rsidR="00725F86">
        <w:t>e following</w:t>
      </w:r>
      <w:r w:rsidR="009F6C0E" w:rsidRPr="00B872A3">
        <w:t>:</w:t>
      </w:r>
    </w:p>
    <w:p w14:paraId="3C1CEA7E" w14:textId="2C37ACB8" w:rsidR="009F6C0E" w:rsidRPr="00B872A3" w:rsidRDefault="009F6C0E" w:rsidP="005343F4">
      <w:pPr>
        <w:widowControl/>
        <w:numPr>
          <w:ilvl w:val="0"/>
          <w:numId w:val="12"/>
        </w:numPr>
        <w:autoSpaceDE/>
        <w:autoSpaceDN/>
        <w:spacing w:after="160"/>
      </w:pPr>
      <w:r w:rsidRPr="00B872A3">
        <w:t>Timeliness of benefits</w:t>
      </w:r>
      <w:r w:rsidR="00725F86">
        <w:t xml:space="preserve"> to clients</w:t>
      </w:r>
    </w:p>
    <w:p w14:paraId="3C5CCB06" w14:textId="229A5281" w:rsidR="009F6C0E" w:rsidRPr="00B872A3" w:rsidRDefault="009F6C0E" w:rsidP="005343F4">
      <w:pPr>
        <w:widowControl/>
        <w:numPr>
          <w:ilvl w:val="0"/>
          <w:numId w:val="12"/>
        </w:numPr>
        <w:autoSpaceDE/>
        <w:autoSpaceDN/>
        <w:spacing w:after="160"/>
      </w:pPr>
      <w:r w:rsidRPr="00B872A3">
        <w:t xml:space="preserve">Federal </w:t>
      </w:r>
      <w:r w:rsidR="00725F86">
        <w:t>non-</w:t>
      </w:r>
      <w:r w:rsidRPr="00B872A3">
        <w:t>compliance</w:t>
      </w:r>
    </w:p>
    <w:p w14:paraId="4EE58A8F" w14:textId="155BE214" w:rsidR="009F6C0E" w:rsidRPr="00B872A3" w:rsidRDefault="009F6C0E" w:rsidP="005343F4">
      <w:pPr>
        <w:widowControl/>
        <w:numPr>
          <w:ilvl w:val="0"/>
          <w:numId w:val="12"/>
        </w:numPr>
        <w:autoSpaceDE/>
        <w:autoSpaceDN/>
        <w:spacing w:after="160"/>
      </w:pPr>
      <w:r w:rsidRPr="00B872A3">
        <w:t>Staff burnout</w:t>
      </w:r>
    </w:p>
    <w:p w14:paraId="57016092" w14:textId="4C289A57" w:rsidR="009F6C0E" w:rsidRPr="00B872A3" w:rsidRDefault="00725F86" w:rsidP="005343F4">
      <w:pPr>
        <w:widowControl/>
        <w:numPr>
          <w:ilvl w:val="0"/>
          <w:numId w:val="12"/>
        </w:numPr>
        <w:autoSpaceDE/>
        <w:autoSpaceDN/>
        <w:spacing w:after="160"/>
      </w:pPr>
      <w:r>
        <w:t>Increased c</w:t>
      </w:r>
      <w:r w:rsidR="009F6C0E" w:rsidRPr="00B872A3">
        <w:t>lient wait times</w:t>
      </w:r>
    </w:p>
    <w:p w14:paraId="227CCA62" w14:textId="77777777" w:rsidR="009F6C0E" w:rsidRPr="00B872A3" w:rsidRDefault="009F6C0E" w:rsidP="005343F4">
      <w:pPr>
        <w:spacing w:after="160"/>
      </w:pPr>
      <w:r w:rsidRPr="00B872A3">
        <w:t>Technology investments reduce error rates, audit findings, overtime strain, and vacancy pressures.</w:t>
      </w:r>
    </w:p>
    <w:p w14:paraId="5A8DD801" w14:textId="77777777" w:rsidR="00725F86" w:rsidRPr="00725F86" w:rsidRDefault="00725F86" w:rsidP="00725F86">
      <w:pPr>
        <w:spacing w:after="160"/>
        <w:rPr>
          <w:b/>
          <w:bCs/>
          <w:u w:val="single"/>
        </w:rPr>
      </w:pPr>
      <w:r w:rsidRPr="00725F86">
        <w:rPr>
          <w:b/>
          <w:bCs/>
          <w:u w:val="single"/>
        </w:rPr>
        <w:t xml:space="preserve">NCACDSS recommends the following legislative action: </w:t>
      </w:r>
    </w:p>
    <w:p w14:paraId="5FC40EB0" w14:textId="2B8D41A1" w:rsidR="00967A62" w:rsidRDefault="00781A07" w:rsidP="00967A62">
      <w:pPr>
        <w:widowControl/>
        <w:numPr>
          <w:ilvl w:val="0"/>
          <w:numId w:val="6"/>
        </w:numPr>
        <w:autoSpaceDE/>
        <w:autoSpaceDN/>
        <w:spacing w:after="160"/>
      </w:pPr>
      <w:r w:rsidRPr="00967A62">
        <w:rPr>
          <w:i/>
          <w:iCs/>
        </w:rPr>
        <w:t xml:space="preserve"> </w:t>
      </w:r>
      <w:r w:rsidR="00967A62" w:rsidRPr="00B872A3">
        <w:t>Invest in modernization to improve timeliness</w:t>
      </w:r>
      <w:r w:rsidR="00967A62">
        <w:t xml:space="preserve">, </w:t>
      </w:r>
      <w:r w:rsidR="00967A62" w:rsidRPr="00B872A3">
        <w:t>accuracy</w:t>
      </w:r>
      <w:r w:rsidR="00967A62">
        <w:t>,</w:t>
      </w:r>
      <w:r w:rsidR="00967A62">
        <w:t xml:space="preserve"> staff retention, federal compliance</w:t>
      </w:r>
      <w:r w:rsidR="00967A62">
        <w:t xml:space="preserve"> and reduce the </w:t>
      </w:r>
      <w:r w:rsidR="00967A62">
        <w:t xml:space="preserve">eligibility </w:t>
      </w:r>
      <w:r w:rsidR="00967A62">
        <w:t>error</w:t>
      </w:r>
      <w:r w:rsidR="00967A62">
        <w:t>s</w:t>
      </w:r>
      <w:r w:rsidR="00967A62">
        <w:t xml:space="preserve"> as outlined in our letter regarding H.R. 1 dated February 13, 2026. </w:t>
      </w:r>
    </w:p>
    <w:p w14:paraId="06C5E1E9" w14:textId="77777777" w:rsidR="009F6C0E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>6. Mandated APS and Guardianship Workload Study</w:t>
      </w:r>
    </w:p>
    <w:p w14:paraId="51C2E329" w14:textId="77777777" w:rsidR="009F6C0E" w:rsidRPr="00B872A3" w:rsidRDefault="009F6C0E" w:rsidP="005343F4">
      <w:pPr>
        <w:spacing w:after="160"/>
      </w:pPr>
      <w:r w:rsidRPr="00B872A3">
        <w:t>APS and guardianship caseloads have increased in both volume and complexity. There is no statewide, legislatively recognized workload standard.</w:t>
      </w:r>
    </w:p>
    <w:p w14:paraId="437E03D9" w14:textId="77777777" w:rsidR="009F6C0E" w:rsidRPr="00B872A3" w:rsidRDefault="009F6C0E" w:rsidP="005343F4">
      <w:pPr>
        <w:spacing w:after="160"/>
      </w:pPr>
      <w:r w:rsidRPr="00B872A3">
        <w:t>Guardianship cases often remain open for years, creating cumulative staffing pressure.</w:t>
      </w:r>
    </w:p>
    <w:p w14:paraId="3445781A" w14:textId="77777777" w:rsidR="00764228" w:rsidRPr="00764228" w:rsidRDefault="00764228" w:rsidP="00764228">
      <w:pPr>
        <w:spacing w:after="160"/>
        <w:rPr>
          <w:b/>
          <w:bCs/>
          <w:u w:val="single"/>
        </w:rPr>
      </w:pPr>
      <w:r w:rsidRPr="00764228">
        <w:rPr>
          <w:b/>
          <w:bCs/>
          <w:u w:val="single"/>
        </w:rPr>
        <w:t xml:space="preserve">NCACDSS recommends the following legislative action: </w:t>
      </w:r>
    </w:p>
    <w:p w14:paraId="7A978F53" w14:textId="679E5E09" w:rsidR="009F6C0E" w:rsidRPr="00B872A3" w:rsidRDefault="00764228" w:rsidP="005343F4">
      <w:pPr>
        <w:widowControl/>
        <w:numPr>
          <w:ilvl w:val="0"/>
          <w:numId w:val="16"/>
        </w:numPr>
        <w:autoSpaceDE/>
        <w:autoSpaceDN/>
        <w:spacing w:after="160"/>
      </w:pPr>
      <w:r>
        <w:t>Legislatively</w:t>
      </w:r>
      <w:r w:rsidR="009F6C0E" w:rsidRPr="00B872A3">
        <w:t xml:space="preserve"> mandate</w:t>
      </w:r>
      <w:r>
        <w:t xml:space="preserve"> and fund</w:t>
      </w:r>
      <w:r w:rsidR="009F6C0E" w:rsidRPr="00B872A3">
        <w:t xml:space="preserve"> a statewide APS and guardianship workload study</w:t>
      </w:r>
      <w:r>
        <w:t xml:space="preserve"> that include County Director inp</w:t>
      </w:r>
      <w:r w:rsidR="00426A69">
        <w:t>ut into the study design and participation in the study</w:t>
      </w:r>
      <w:r w:rsidR="009F6C0E" w:rsidRPr="00B872A3">
        <w:t>.</w:t>
      </w:r>
    </w:p>
    <w:p w14:paraId="23625C9D" w14:textId="77777777" w:rsidR="009F6C0E" w:rsidRPr="00B872A3" w:rsidRDefault="009F6C0E" w:rsidP="005343F4">
      <w:pPr>
        <w:widowControl/>
        <w:numPr>
          <w:ilvl w:val="0"/>
          <w:numId w:val="16"/>
        </w:numPr>
        <w:autoSpaceDE/>
        <w:autoSpaceDN/>
        <w:spacing w:after="160"/>
      </w:pPr>
      <w:r w:rsidRPr="00B872A3">
        <w:t>Tie study findings to recurring state funding adjustments.</w:t>
      </w:r>
    </w:p>
    <w:p w14:paraId="7CE85E92" w14:textId="714C041F" w:rsidR="00731BC1" w:rsidRPr="00B872A3" w:rsidRDefault="009F6C0E" w:rsidP="005343F4">
      <w:pPr>
        <w:spacing w:after="160"/>
        <w:rPr>
          <w:b/>
          <w:bCs/>
        </w:rPr>
      </w:pPr>
      <w:r w:rsidRPr="00B872A3">
        <w:rPr>
          <w:b/>
          <w:bCs/>
        </w:rPr>
        <w:t xml:space="preserve">7. DHHS Assumption of </w:t>
      </w:r>
      <w:r w:rsidR="00BE3F17">
        <w:rPr>
          <w:b/>
          <w:bCs/>
        </w:rPr>
        <w:t>Adult Care Homes and Assisted living facility</w:t>
      </w:r>
      <w:r w:rsidRPr="00B872A3">
        <w:rPr>
          <w:b/>
          <w:bCs/>
        </w:rPr>
        <w:t xml:space="preserve"> Investigations</w:t>
      </w:r>
    </w:p>
    <w:p w14:paraId="4699F766" w14:textId="73DB5D0B" w:rsidR="00D83A6A" w:rsidRDefault="00D83A6A" w:rsidP="005343F4">
      <w:pPr>
        <w:spacing w:after="160"/>
      </w:pPr>
      <w:r>
        <w:t xml:space="preserve">Currently County </w:t>
      </w:r>
      <w:proofErr w:type="spellStart"/>
      <w:r>
        <w:t>Department’s</w:t>
      </w:r>
      <w:proofErr w:type="spellEnd"/>
      <w:r>
        <w:t xml:space="preserve"> of Social Services are tasked with the responsibility to investigate complaints at </w:t>
      </w:r>
      <w:r w:rsidR="00F26A23">
        <w:t>assisted living facilities and adult care homes.  These fa</w:t>
      </w:r>
      <w:r w:rsidR="008D78EB">
        <w:t xml:space="preserve">cilities are licensed and regulated by the North Carolina Division of Health Service Regulations.  </w:t>
      </w:r>
    </w:p>
    <w:p w14:paraId="63D71B27" w14:textId="0DDC1ACC" w:rsidR="00DD3D0D" w:rsidRDefault="00DD3D0D" w:rsidP="005343F4">
      <w:pPr>
        <w:spacing w:after="160"/>
      </w:pPr>
      <w:r>
        <w:t xml:space="preserve">Many </w:t>
      </w:r>
      <w:proofErr w:type="gramStart"/>
      <w:r>
        <w:t>times</w:t>
      </w:r>
      <w:proofErr w:type="gramEnd"/>
      <w:r>
        <w:t xml:space="preserve"> county Departments of Social Services have </w:t>
      </w:r>
      <w:proofErr w:type="gramStart"/>
      <w:r>
        <w:t>guardianship</w:t>
      </w:r>
      <w:r w:rsidR="00BD5E10">
        <w:t xml:space="preserve"> clients</w:t>
      </w:r>
      <w:proofErr w:type="gramEnd"/>
      <w:r w:rsidR="00BD5E10">
        <w:t xml:space="preserve"> housed at these facilities where complaints are made and also </w:t>
      </w:r>
      <w:r w:rsidR="008C1F30">
        <w:t xml:space="preserve">in many </w:t>
      </w:r>
      <w:proofErr w:type="gramStart"/>
      <w:r w:rsidR="008C1F30">
        <w:t>cases</w:t>
      </w:r>
      <w:proofErr w:type="gramEnd"/>
      <w:r w:rsidR="008C1F30">
        <w:t xml:space="preserve"> are financially tied to the facility through board payments.  This creates significant conflicts of interests in these matters from </w:t>
      </w:r>
      <w:proofErr w:type="gramStart"/>
      <w:r w:rsidR="008C1F30">
        <w:t>a County</w:t>
      </w:r>
      <w:proofErr w:type="gramEnd"/>
      <w:r w:rsidR="008C1F30">
        <w:t xml:space="preserve"> Department of Social Services and client perspective. </w:t>
      </w:r>
    </w:p>
    <w:p w14:paraId="2F05BA45" w14:textId="77777777" w:rsidR="00555EE9" w:rsidRDefault="00555EE9" w:rsidP="005343F4">
      <w:pPr>
        <w:spacing w:after="160"/>
      </w:pPr>
    </w:p>
    <w:p w14:paraId="4EE65774" w14:textId="77777777" w:rsidR="00555EE9" w:rsidRPr="00D83A6A" w:rsidRDefault="00555EE9" w:rsidP="005343F4">
      <w:pPr>
        <w:spacing w:after="160"/>
      </w:pPr>
    </w:p>
    <w:p w14:paraId="74138F4B" w14:textId="77777777" w:rsidR="005B1380" w:rsidRPr="005B1380" w:rsidRDefault="005B1380" w:rsidP="005B1380">
      <w:pPr>
        <w:spacing w:after="160"/>
        <w:rPr>
          <w:b/>
          <w:bCs/>
          <w:u w:val="single"/>
        </w:rPr>
      </w:pPr>
      <w:r w:rsidRPr="005B1380">
        <w:rPr>
          <w:b/>
          <w:bCs/>
          <w:u w:val="single"/>
        </w:rPr>
        <w:lastRenderedPageBreak/>
        <w:t xml:space="preserve">NCACDSS recommends the following legislative action: </w:t>
      </w:r>
    </w:p>
    <w:p w14:paraId="50A14A76" w14:textId="251383EB" w:rsidR="009F6C0E" w:rsidRPr="00B872A3" w:rsidRDefault="005B1380" w:rsidP="005343F4">
      <w:pPr>
        <w:widowControl/>
        <w:numPr>
          <w:ilvl w:val="0"/>
          <w:numId w:val="18"/>
        </w:numPr>
        <w:autoSpaceDE/>
        <w:autoSpaceDN/>
        <w:spacing w:after="160"/>
      </w:pPr>
      <w:r>
        <w:t xml:space="preserve">Statutorily mandate </w:t>
      </w:r>
      <w:r w:rsidR="00937042">
        <w:t xml:space="preserve">that the NC Division of Health Services regulation be </w:t>
      </w:r>
      <w:r w:rsidR="00731BC1">
        <w:t xml:space="preserve">responsible for the investigation and decision in all complaints at state licensed assisted living facilities and adult care homes.  </w:t>
      </w:r>
      <w:r w:rsidR="00EA7CD5">
        <w:t xml:space="preserve"> </w:t>
      </w:r>
    </w:p>
    <w:p w14:paraId="1DA213B0" w14:textId="77777777" w:rsidR="007A34B8" w:rsidRPr="00B872A3" w:rsidRDefault="007A34B8" w:rsidP="007A34B8">
      <w:pPr>
        <w:spacing w:after="160"/>
        <w:rPr>
          <w:b/>
          <w:bCs/>
        </w:rPr>
      </w:pPr>
      <w:r w:rsidRPr="00B872A3">
        <w:rPr>
          <w:b/>
          <w:bCs/>
        </w:rPr>
        <w:t>8. Legislative Solutions for Refusal-to-Parent Cases</w:t>
      </w:r>
    </w:p>
    <w:p w14:paraId="6DDA026E" w14:textId="77777777" w:rsidR="007A34B8" w:rsidRPr="00B872A3" w:rsidRDefault="007A34B8" w:rsidP="007A34B8">
      <w:pPr>
        <w:spacing w:after="160"/>
      </w:pPr>
      <w:r w:rsidRPr="00B872A3">
        <w:t>Refusal-to-parent cases are increasing</w:t>
      </w:r>
      <w:r>
        <w:t xml:space="preserve"> where parent are abandoning their responsibility of care, love and the basic necessities of their children.  These types of incidents typically involve children with severe and/or acute behavioral health needs that puts others in the home at serious risk of harm.  These children have very limited treatment options to address these behaviors.  </w:t>
      </w:r>
    </w:p>
    <w:p w14:paraId="5F9C1857" w14:textId="77777777" w:rsidR="007A34B8" w:rsidRPr="00B872A3" w:rsidRDefault="007A34B8" w:rsidP="007A34B8">
      <w:pPr>
        <w:spacing w:after="160"/>
      </w:pPr>
      <w:r w:rsidRPr="00B872A3">
        <w:t>DSS becomes the placement of last resort without a finding of abuse or neglect.</w:t>
      </w:r>
    </w:p>
    <w:p w14:paraId="025EAE7B" w14:textId="77777777" w:rsidR="007A34B8" w:rsidRPr="00B872A3" w:rsidRDefault="007A34B8" w:rsidP="007A34B8">
      <w:pPr>
        <w:spacing w:after="160"/>
      </w:pPr>
      <w:r>
        <w:t xml:space="preserve">County Department of Social Services then have to take on a heavy administrative case management burden, the high costs of placement for these children that could include foster </w:t>
      </w:r>
      <w:proofErr w:type="gramStart"/>
      <w:r>
        <w:t>care, and</w:t>
      </w:r>
      <w:proofErr w:type="gramEnd"/>
      <w:r>
        <w:t xml:space="preserve"> take on the behavioral health burden associated with these children.  </w:t>
      </w:r>
    </w:p>
    <w:p w14:paraId="0558553E" w14:textId="77777777" w:rsidR="007A34B8" w:rsidRPr="00B872A3" w:rsidRDefault="007A34B8" w:rsidP="007A34B8">
      <w:pPr>
        <w:spacing w:after="160"/>
      </w:pPr>
      <w:r>
        <w:t xml:space="preserve">It should be </w:t>
      </w:r>
      <w:proofErr w:type="gramStart"/>
      <w:r>
        <w:t>noted</w:t>
      </w:r>
      <w:proofErr w:type="gramEnd"/>
      <w:r>
        <w:t xml:space="preserve"> </w:t>
      </w:r>
      <w:r w:rsidRPr="00B872A3">
        <w:t>County DSS agencies are not behavioral health providers.</w:t>
      </w:r>
    </w:p>
    <w:p w14:paraId="28CAD39D" w14:textId="77777777" w:rsidR="007A34B8" w:rsidRPr="006334E1" w:rsidRDefault="007A34B8" w:rsidP="007A34B8">
      <w:pPr>
        <w:spacing w:after="160"/>
        <w:rPr>
          <w:b/>
          <w:bCs/>
          <w:u w:val="single"/>
        </w:rPr>
      </w:pPr>
      <w:r w:rsidRPr="006334E1">
        <w:rPr>
          <w:b/>
          <w:bCs/>
          <w:u w:val="single"/>
        </w:rPr>
        <w:t xml:space="preserve">NCACDSS recommends the following legislative action: </w:t>
      </w:r>
    </w:p>
    <w:p w14:paraId="0824FF54" w14:textId="77777777" w:rsidR="007A34B8" w:rsidRPr="00B872A3" w:rsidRDefault="007A34B8" w:rsidP="007A34B8">
      <w:pPr>
        <w:widowControl/>
        <w:numPr>
          <w:ilvl w:val="0"/>
          <w:numId w:val="21"/>
        </w:numPr>
        <w:autoSpaceDE/>
        <w:autoSpaceDN/>
        <w:spacing w:after="160"/>
      </w:pPr>
      <w:r>
        <w:t>Develop</w:t>
      </w:r>
      <w:r w:rsidRPr="00B872A3">
        <w:t xml:space="preserve"> statutory framework for refusal-to-parent cases.</w:t>
      </w:r>
    </w:p>
    <w:p w14:paraId="0E63E0D2" w14:textId="77777777" w:rsidR="007A34B8" w:rsidRPr="00B872A3" w:rsidRDefault="007A34B8" w:rsidP="007A34B8">
      <w:pPr>
        <w:widowControl/>
        <w:numPr>
          <w:ilvl w:val="0"/>
          <w:numId w:val="21"/>
        </w:numPr>
        <w:autoSpaceDE/>
        <w:autoSpaceDN/>
        <w:spacing w:after="160"/>
      </w:pPr>
      <w:r w:rsidRPr="00B872A3">
        <w:t>Expand funding for youth behavioral health services.</w:t>
      </w:r>
    </w:p>
    <w:p w14:paraId="28B482F6" w14:textId="77777777" w:rsidR="007A34B8" w:rsidRPr="00B872A3" w:rsidRDefault="007A34B8" w:rsidP="007A34B8">
      <w:pPr>
        <w:widowControl/>
        <w:numPr>
          <w:ilvl w:val="0"/>
          <w:numId w:val="21"/>
        </w:numPr>
        <w:autoSpaceDE/>
        <w:autoSpaceDN/>
        <w:spacing w:after="160"/>
      </w:pPr>
      <w:r w:rsidRPr="00B872A3">
        <w:t>Increase residential treatment capacity and crisis services.</w:t>
      </w:r>
    </w:p>
    <w:p w14:paraId="3010EF12" w14:textId="77777777" w:rsidR="007A34B8" w:rsidRPr="00B872A3" w:rsidRDefault="007A34B8" w:rsidP="007A34B8">
      <w:pPr>
        <w:widowControl/>
        <w:numPr>
          <w:ilvl w:val="0"/>
          <w:numId w:val="21"/>
        </w:numPr>
        <w:autoSpaceDE/>
        <w:autoSpaceDN/>
        <w:spacing w:after="160"/>
      </w:pPr>
      <w:r w:rsidRPr="00B872A3">
        <w:t>Align accountability</w:t>
      </w:r>
      <w:r>
        <w:t xml:space="preserve"> and outcome based measures</w:t>
      </w:r>
      <w:r w:rsidRPr="00B872A3">
        <w:t xml:space="preserve"> </w:t>
      </w:r>
      <w:r>
        <w:t>of</w:t>
      </w:r>
      <w:r w:rsidRPr="00B872A3">
        <w:t xml:space="preserve"> managed care</w:t>
      </w:r>
      <w:r>
        <w:t>/behavioral health</w:t>
      </w:r>
      <w:r w:rsidRPr="00B872A3">
        <w:t xml:space="preserve"> entities.</w:t>
      </w:r>
    </w:p>
    <w:p w14:paraId="676611A3" w14:textId="77777777" w:rsidR="001A14DF" w:rsidRDefault="001A14DF" w:rsidP="005343F4">
      <w:pPr>
        <w:spacing w:after="160"/>
      </w:pPr>
    </w:p>
    <w:p w14:paraId="56431698" w14:textId="21848E0F" w:rsidR="009F6C0E" w:rsidRPr="00B872A3" w:rsidRDefault="001A14DF" w:rsidP="005343F4">
      <w:pPr>
        <w:spacing w:after="160"/>
      </w:pPr>
      <w:r>
        <w:t xml:space="preserve">As always the North Carolina Association of County Directors of Social Services </w:t>
      </w:r>
      <w:r w:rsidR="009F6C0E" w:rsidRPr="00B872A3">
        <w:t>stand ready to partner with the North Carolina General Assembly and the North Carolina Department of Health and Human Services to strengthen service delivery</w:t>
      </w:r>
      <w:r w:rsidR="00974701">
        <w:t xml:space="preserve">, </w:t>
      </w:r>
      <w:r w:rsidR="009F6C0E" w:rsidRPr="00B872A3">
        <w:t>protect vulnerable children, adults, and families</w:t>
      </w:r>
      <w:r w:rsidR="00974701">
        <w:t xml:space="preserve">, and address the systemic social challenges facing the citizens of North Carolina. </w:t>
      </w:r>
    </w:p>
    <w:p w14:paraId="66C6AC05" w14:textId="77777777" w:rsidR="009F6C0E" w:rsidRPr="00B872A3" w:rsidRDefault="009F6C0E" w:rsidP="005343F4"/>
    <w:p w14:paraId="6C014AB7" w14:textId="540B7340" w:rsidR="003B4F14" w:rsidRDefault="003B4F14" w:rsidP="005343F4">
      <w:pPr>
        <w:pStyle w:val="BodyText"/>
        <w:ind w:left="4228"/>
        <w:rPr>
          <w:sz w:val="18"/>
        </w:rPr>
      </w:pPr>
    </w:p>
    <w:sectPr w:rsidR="003B4F14" w:rsidSect="009F6C0E">
      <w:type w:val="continuous"/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49D"/>
    <w:multiLevelType w:val="multilevel"/>
    <w:tmpl w:val="E56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176B"/>
    <w:multiLevelType w:val="hybridMultilevel"/>
    <w:tmpl w:val="53C4E3E2"/>
    <w:lvl w:ilvl="0" w:tplc="19342B2E">
      <w:start w:val="1"/>
      <w:numFmt w:val="decimal"/>
      <w:lvlText w:val="%1."/>
      <w:lvlJc w:val="left"/>
      <w:pPr>
        <w:ind w:left="580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BC0456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14ADD94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22D6F72E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38BCD48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EFB8234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C5D2953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7C4CD59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8BCED50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99187A"/>
    <w:multiLevelType w:val="multilevel"/>
    <w:tmpl w:val="642E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419D2"/>
    <w:multiLevelType w:val="multilevel"/>
    <w:tmpl w:val="A8C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72488"/>
    <w:multiLevelType w:val="multilevel"/>
    <w:tmpl w:val="7CA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33919"/>
    <w:multiLevelType w:val="multilevel"/>
    <w:tmpl w:val="890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D6754"/>
    <w:multiLevelType w:val="multilevel"/>
    <w:tmpl w:val="BE7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016F8"/>
    <w:multiLevelType w:val="multilevel"/>
    <w:tmpl w:val="D7D0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00FE5"/>
    <w:multiLevelType w:val="multilevel"/>
    <w:tmpl w:val="CD7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F7CE1"/>
    <w:multiLevelType w:val="multilevel"/>
    <w:tmpl w:val="20C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11AF1"/>
    <w:multiLevelType w:val="multilevel"/>
    <w:tmpl w:val="82E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73492"/>
    <w:multiLevelType w:val="multilevel"/>
    <w:tmpl w:val="F17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DDF"/>
    <w:multiLevelType w:val="multilevel"/>
    <w:tmpl w:val="4300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C1487"/>
    <w:multiLevelType w:val="multilevel"/>
    <w:tmpl w:val="8020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618E4"/>
    <w:multiLevelType w:val="multilevel"/>
    <w:tmpl w:val="17A0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833BD"/>
    <w:multiLevelType w:val="multilevel"/>
    <w:tmpl w:val="221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74A0E"/>
    <w:multiLevelType w:val="multilevel"/>
    <w:tmpl w:val="788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85BAE"/>
    <w:multiLevelType w:val="multilevel"/>
    <w:tmpl w:val="C946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D6733"/>
    <w:multiLevelType w:val="multilevel"/>
    <w:tmpl w:val="A680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4140D"/>
    <w:multiLevelType w:val="multilevel"/>
    <w:tmpl w:val="BA2A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15C52"/>
    <w:multiLevelType w:val="multilevel"/>
    <w:tmpl w:val="1F80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C0C"/>
    <w:multiLevelType w:val="hybridMultilevel"/>
    <w:tmpl w:val="53F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1068B"/>
    <w:multiLevelType w:val="hybridMultilevel"/>
    <w:tmpl w:val="8A30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63446"/>
    <w:multiLevelType w:val="multilevel"/>
    <w:tmpl w:val="4D2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837081">
    <w:abstractNumId w:val="1"/>
  </w:num>
  <w:num w:numId="2" w16cid:durableId="1372264370">
    <w:abstractNumId w:val="4"/>
  </w:num>
  <w:num w:numId="3" w16cid:durableId="377750055">
    <w:abstractNumId w:val="9"/>
  </w:num>
  <w:num w:numId="4" w16cid:durableId="259413073">
    <w:abstractNumId w:val="13"/>
  </w:num>
  <w:num w:numId="5" w16cid:durableId="6250443">
    <w:abstractNumId w:val="23"/>
  </w:num>
  <w:num w:numId="6" w16cid:durableId="758522922">
    <w:abstractNumId w:val="10"/>
  </w:num>
  <w:num w:numId="7" w16cid:durableId="613291978">
    <w:abstractNumId w:val="7"/>
  </w:num>
  <w:num w:numId="8" w16cid:durableId="356276979">
    <w:abstractNumId w:val="17"/>
  </w:num>
  <w:num w:numId="9" w16cid:durableId="1500077868">
    <w:abstractNumId w:val="19"/>
  </w:num>
  <w:num w:numId="10" w16cid:durableId="507059182">
    <w:abstractNumId w:val="16"/>
  </w:num>
  <w:num w:numId="11" w16cid:durableId="1240361922">
    <w:abstractNumId w:val="8"/>
  </w:num>
  <w:num w:numId="12" w16cid:durableId="1302080866">
    <w:abstractNumId w:val="14"/>
  </w:num>
  <w:num w:numId="13" w16cid:durableId="485974264">
    <w:abstractNumId w:val="11"/>
  </w:num>
  <w:num w:numId="14" w16cid:durableId="1691104802">
    <w:abstractNumId w:val="15"/>
  </w:num>
  <w:num w:numId="15" w16cid:durableId="2008092548">
    <w:abstractNumId w:val="0"/>
  </w:num>
  <w:num w:numId="16" w16cid:durableId="713041087">
    <w:abstractNumId w:val="18"/>
  </w:num>
  <w:num w:numId="17" w16cid:durableId="1554076894">
    <w:abstractNumId w:val="20"/>
  </w:num>
  <w:num w:numId="18" w16cid:durableId="900944225">
    <w:abstractNumId w:val="3"/>
  </w:num>
  <w:num w:numId="19" w16cid:durableId="260989918">
    <w:abstractNumId w:val="12"/>
  </w:num>
  <w:num w:numId="20" w16cid:durableId="285740329">
    <w:abstractNumId w:val="2"/>
  </w:num>
  <w:num w:numId="21" w16cid:durableId="955060081">
    <w:abstractNumId w:val="5"/>
  </w:num>
  <w:num w:numId="22" w16cid:durableId="306906107">
    <w:abstractNumId w:val="6"/>
  </w:num>
  <w:num w:numId="23" w16cid:durableId="791901299">
    <w:abstractNumId w:val="21"/>
  </w:num>
  <w:num w:numId="24" w16cid:durableId="769024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14"/>
    <w:rsid w:val="00033E21"/>
    <w:rsid w:val="00083DD5"/>
    <w:rsid w:val="000D749F"/>
    <w:rsid w:val="000E5EEB"/>
    <w:rsid w:val="0013705B"/>
    <w:rsid w:val="00143F17"/>
    <w:rsid w:val="001A14DF"/>
    <w:rsid w:val="00206B0C"/>
    <w:rsid w:val="00260409"/>
    <w:rsid w:val="002B2FE7"/>
    <w:rsid w:val="002F50D3"/>
    <w:rsid w:val="0030563F"/>
    <w:rsid w:val="003061DB"/>
    <w:rsid w:val="003227B0"/>
    <w:rsid w:val="003337C4"/>
    <w:rsid w:val="0034137D"/>
    <w:rsid w:val="003437F7"/>
    <w:rsid w:val="00357A39"/>
    <w:rsid w:val="00377403"/>
    <w:rsid w:val="003A1653"/>
    <w:rsid w:val="003A3CBE"/>
    <w:rsid w:val="003B4F14"/>
    <w:rsid w:val="003D0740"/>
    <w:rsid w:val="003D6C85"/>
    <w:rsid w:val="00426A69"/>
    <w:rsid w:val="00502278"/>
    <w:rsid w:val="0050353F"/>
    <w:rsid w:val="005343F4"/>
    <w:rsid w:val="00536677"/>
    <w:rsid w:val="00542D1F"/>
    <w:rsid w:val="00555EE9"/>
    <w:rsid w:val="00564F3D"/>
    <w:rsid w:val="00580959"/>
    <w:rsid w:val="005A4DB2"/>
    <w:rsid w:val="005B1380"/>
    <w:rsid w:val="005E0B4E"/>
    <w:rsid w:val="005E3BB3"/>
    <w:rsid w:val="00604AED"/>
    <w:rsid w:val="00616674"/>
    <w:rsid w:val="00671E07"/>
    <w:rsid w:val="00680672"/>
    <w:rsid w:val="0069108A"/>
    <w:rsid w:val="006A3B9D"/>
    <w:rsid w:val="006C261C"/>
    <w:rsid w:val="006C50AF"/>
    <w:rsid w:val="006E651F"/>
    <w:rsid w:val="007067C6"/>
    <w:rsid w:val="00720E12"/>
    <w:rsid w:val="00725F86"/>
    <w:rsid w:val="00731BC1"/>
    <w:rsid w:val="007408C7"/>
    <w:rsid w:val="00764228"/>
    <w:rsid w:val="00766763"/>
    <w:rsid w:val="00767C8A"/>
    <w:rsid w:val="00781A07"/>
    <w:rsid w:val="007A34B8"/>
    <w:rsid w:val="007B21D9"/>
    <w:rsid w:val="007B497A"/>
    <w:rsid w:val="007C43F4"/>
    <w:rsid w:val="007D40AC"/>
    <w:rsid w:val="007E34E7"/>
    <w:rsid w:val="007F5CC7"/>
    <w:rsid w:val="00807C5B"/>
    <w:rsid w:val="0081320B"/>
    <w:rsid w:val="0083048C"/>
    <w:rsid w:val="00832CA6"/>
    <w:rsid w:val="008376E0"/>
    <w:rsid w:val="00841838"/>
    <w:rsid w:val="00860780"/>
    <w:rsid w:val="00864400"/>
    <w:rsid w:val="008A7841"/>
    <w:rsid w:val="008C0F43"/>
    <w:rsid w:val="008C1F30"/>
    <w:rsid w:val="008D154D"/>
    <w:rsid w:val="008D2839"/>
    <w:rsid w:val="008D4EE2"/>
    <w:rsid w:val="008D78EB"/>
    <w:rsid w:val="00917CD5"/>
    <w:rsid w:val="0092612E"/>
    <w:rsid w:val="00937042"/>
    <w:rsid w:val="00961743"/>
    <w:rsid w:val="00967A62"/>
    <w:rsid w:val="0097340C"/>
    <w:rsid w:val="00974701"/>
    <w:rsid w:val="0098422E"/>
    <w:rsid w:val="00990E9D"/>
    <w:rsid w:val="009B3B45"/>
    <w:rsid w:val="009D1FDA"/>
    <w:rsid w:val="009F6C0E"/>
    <w:rsid w:val="00A00AF4"/>
    <w:rsid w:val="00A02EDB"/>
    <w:rsid w:val="00A206FF"/>
    <w:rsid w:val="00A233B2"/>
    <w:rsid w:val="00A40EC0"/>
    <w:rsid w:val="00A55C06"/>
    <w:rsid w:val="00A56F8E"/>
    <w:rsid w:val="00A813D4"/>
    <w:rsid w:val="00A93C7B"/>
    <w:rsid w:val="00AE0AF3"/>
    <w:rsid w:val="00AE30E2"/>
    <w:rsid w:val="00B20E5D"/>
    <w:rsid w:val="00B82DF2"/>
    <w:rsid w:val="00BA77ED"/>
    <w:rsid w:val="00BB31FF"/>
    <w:rsid w:val="00BD5E10"/>
    <w:rsid w:val="00BE3F17"/>
    <w:rsid w:val="00BF01D8"/>
    <w:rsid w:val="00C112BB"/>
    <w:rsid w:val="00C40136"/>
    <w:rsid w:val="00C73C59"/>
    <w:rsid w:val="00CC6475"/>
    <w:rsid w:val="00D4649E"/>
    <w:rsid w:val="00D83A6A"/>
    <w:rsid w:val="00D83FAD"/>
    <w:rsid w:val="00D859DF"/>
    <w:rsid w:val="00D86163"/>
    <w:rsid w:val="00D96E9D"/>
    <w:rsid w:val="00DA62F3"/>
    <w:rsid w:val="00DA7589"/>
    <w:rsid w:val="00DD3D0D"/>
    <w:rsid w:val="00DD3F48"/>
    <w:rsid w:val="00E62709"/>
    <w:rsid w:val="00E7017D"/>
    <w:rsid w:val="00E74D5D"/>
    <w:rsid w:val="00E8170C"/>
    <w:rsid w:val="00EA7CD5"/>
    <w:rsid w:val="00EB0CEE"/>
    <w:rsid w:val="00EB7D77"/>
    <w:rsid w:val="00F01421"/>
    <w:rsid w:val="00F07DB8"/>
    <w:rsid w:val="00F26A23"/>
    <w:rsid w:val="00F55D09"/>
    <w:rsid w:val="00F64D33"/>
    <w:rsid w:val="00F71D7B"/>
    <w:rsid w:val="00F95F91"/>
    <w:rsid w:val="00FC6F2D"/>
    <w:rsid w:val="00F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14A65"/>
  <w15:docId w15:val="{E2F332D9-1702-4065-B438-04062731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78" w:hanging="2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3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North+Carolina+Child+Welfare+Caseload+Standards&amp;rlz=1C1GCEU_enUS1073US1073&amp;oq=North+Carolina+Child+Welfare+Caseload+Standards&amp;gs_lcrp=EgZjaHJvbWUyCQgAEEUYORigATIHCAEQIRigATIHCAIQIRigAdIBCDc2MTRqMGo3qAIIsAIB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leg.gov/Files/Library/agency/dhhs15203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 Consulting</dc:creator>
  <cp:lastModifiedBy>Geoffrey Marett</cp:lastModifiedBy>
  <cp:revision>64</cp:revision>
  <dcterms:created xsi:type="dcterms:W3CDTF">2026-02-26T15:28:00Z</dcterms:created>
  <dcterms:modified xsi:type="dcterms:W3CDTF">2026-02-26T18:02:00Z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25.1.159</vt:lpwstr>
  </property>
  <property fmtid="{D5CDD505-2E9C-101B-9397-08002B2CF9AE}" pid="6" name="SourceModified">
    <vt:lpwstr>D:20260213193422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2026-02-24T13:21:52Z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1159d2ce-b535-4828-8e34-660341dc65bf</vt:lpwstr>
  </property>
  <property fmtid="{D5CDD505-2E9C-101B-9397-08002B2CF9AE}" pid="12" name="MSIP_Label_defa4170-0d19-0005-0004-bc88714345d2_ActionId">
    <vt:lpwstr>5885cbfd-7bae-4e47-883f-19ca6b919146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  <property fmtid="{D5CDD505-2E9C-101B-9397-08002B2CF9AE}" pid="15" name="MSIP_Label_eca45d3f-0c6e-41ec-8973-6cf908ce0d60_Enabled">
    <vt:lpwstr>true</vt:lpwstr>
  </property>
  <property fmtid="{D5CDD505-2E9C-101B-9397-08002B2CF9AE}" pid="16" name="MSIP_Label_eca45d3f-0c6e-41ec-8973-6cf908ce0d60_SetDate">
    <vt:lpwstr>2026-02-26T12:45:44Z</vt:lpwstr>
  </property>
  <property fmtid="{D5CDD505-2E9C-101B-9397-08002B2CF9AE}" pid="17" name="MSIP_Label_eca45d3f-0c6e-41ec-8973-6cf908ce0d60_Method">
    <vt:lpwstr>Standard</vt:lpwstr>
  </property>
  <property fmtid="{D5CDD505-2E9C-101B-9397-08002B2CF9AE}" pid="18" name="MSIP_Label_eca45d3f-0c6e-41ec-8973-6cf908ce0d60_Name">
    <vt:lpwstr>defa4170-0d19-0005-0004-bc88714345d2</vt:lpwstr>
  </property>
  <property fmtid="{D5CDD505-2E9C-101B-9397-08002B2CF9AE}" pid="19" name="MSIP_Label_eca45d3f-0c6e-41ec-8973-6cf908ce0d60_SiteId">
    <vt:lpwstr>a9acd5d6-1528-4378-86f6-01cb3b9ceef1</vt:lpwstr>
  </property>
  <property fmtid="{D5CDD505-2E9C-101B-9397-08002B2CF9AE}" pid="20" name="MSIP_Label_eca45d3f-0c6e-41ec-8973-6cf908ce0d60_ActionId">
    <vt:lpwstr>bf3ef41c-7a1b-40dd-b6b7-ef44bea8195b</vt:lpwstr>
  </property>
  <property fmtid="{D5CDD505-2E9C-101B-9397-08002B2CF9AE}" pid="21" name="MSIP_Label_eca45d3f-0c6e-41ec-8973-6cf908ce0d60_ContentBits">
    <vt:lpwstr>0</vt:lpwstr>
  </property>
  <property fmtid="{D5CDD505-2E9C-101B-9397-08002B2CF9AE}" pid="22" name="MSIP_Label_eca45d3f-0c6e-41ec-8973-6cf908ce0d60_Tag">
    <vt:lpwstr>10, 3, 0, 1</vt:lpwstr>
  </property>
</Properties>
</file>