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bookmarkStart w:colFirst="0" w:colLast="0" w:name="_gjdgxs" w:id="0"/>
      <w:bookmarkEnd w:id="0"/>
      <w:r w:rsidDel="00000000" w:rsidR="00000000" w:rsidRPr="00000000">
        <w:rPr>
          <w:sz w:val="24"/>
          <w:szCs w:val="24"/>
          <w:rtl w:val="0"/>
        </w:rPr>
        <w:t xml:space="preserve">ECONOMIC PROGRAMS COMMITTEE </w:t>
      </w:r>
    </w:p>
    <w:p w:rsidR="00000000" w:rsidDel="00000000" w:rsidP="00000000" w:rsidRDefault="00000000" w:rsidRPr="00000000" w14:paraId="00000002">
      <w:pPr>
        <w:spacing w:after="0" w:line="240" w:lineRule="auto"/>
        <w:jc w:val="center"/>
        <w:rPr>
          <w:sz w:val="24"/>
          <w:szCs w:val="24"/>
        </w:rPr>
      </w:pPr>
      <w:r w:rsidDel="00000000" w:rsidR="00000000" w:rsidRPr="00000000">
        <w:rPr>
          <w:sz w:val="24"/>
          <w:szCs w:val="24"/>
          <w:rtl w:val="0"/>
        </w:rPr>
        <w:t xml:space="preserve">January 10, 2024</w:t>
      </w:r>
    </w:p>
    <w:p w:rsidR="00000000" w:rsidDel="00000000" w:rsidP="00000000" w:rsidRDefault="00000000" w:rsidRPr="00000000" w14:paraId="00000003">
      <w:pPr>
        <w:spacing w:after="0" w:line="240" w:lineRule="auto"/>
        <w:jc w:val="center"/>
        <w:rPr>
          <w:color w:val="000000"/>
          <w:sz w:val="24"/>
          <w:szCs w:val="24"/>
          <w:highlight w:val="yellow"/>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Co-Chairs: Trish Baker, Davidson County, Angi Karchmer, Gaston County, Willie Smith, Gates County, Brenda Brown, Hertford County</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u w:val="single"/>
        </w:rPr>
      </w:pPr>
      <w:r w:rsidDel="00000000" w:rsidR="00000000" w:rsidRPr="00000000">
        <w:rPr>
          <w:b w:val="1"/>
          <w:u w:val="single"/>
          <w:rtl w:val="0"/>
        </w:rPr>
        <w:t xml:space="preserve">DHB – Gina Hamilton </w:t>
      </w:r>
    </w:p>
    <w:p w:rsidR="00000000" w:rsidDel="00000000" w:rsidP="00000000" w:rsidRDefault="00000000" w:rsidRPr="00000000" w14:paraId="00000008">
      <w:pPr>
        <w:spacing w:after="0" w:line="240" w:lineRule="auto"/>
        <w:rPr/>
      </w:pPr>
      <w:r w:rsidDel="00000000" w:rsidR="00000000" w:rsidRPr="00000000">
        <w:rPr>
          <w:rtl w:val="0"/>
        </w:rPr>
        <w:t xml:space="preserve">E14 children under 19 – pushed out 12 months, batch issue in December caused 7000 children to term in error, fix in place and benefits in process of being reinstated. Non-MAGI for children under 19 – for December, have been pushed out 12 months last month. That was just for December, as you are working cases </w:t>
      </w:r>
      <w:r w:rsidDel="00000000" w:rsidR="00000000" w:rsidRPr="00000000">
        <w:rPr>
          <w:b w:val="1"/>
          <w:rtl w:val="0"/>
        </w:rPr>
        <w:t xml:space="preserve">for NON-MAGI cat needy – need to extend out 12 months to meet waiver. Will not be picked up in a data fix. </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E14 waiver for MAF-C under 100% FPL for caretaker/parent – waiver allows for extension for active income at or below 100% - certifications can be extended for 12 months – NC Fast will attempt to complete MAF-C using E14 waiver rules and STP rules first. Counties will need to let this process run prior to working recerts. Counties will need to monitor MAGI pending recert report daily to identity these cases. If case displays not selected or incomplete, case worker can begin working recert. If case is marked not selected, request all electronic sources, if no or new additional income shows and no other outstanding issues are present, then medical continued evidence can be entered for 12 months. If electronic sources return new or additional income, then complete following all normal procedures. If marked incomplete, determine reason – if it is a reason unrelated to income, resolve the issue and if case continues to meet non-financial requirements based on OVS and work number hits, enter continued medical evidence. If case does not meet non-financial requirements, follow policy. If not eligible due to non-financial requirements, terminated as appropriate. If new income reported, case worker will follow regular recert procedures to determine eligibility. All will be in a detailed letter coming today or tomorrow.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Working on automation – to automatically pull OVS and AVS at the 10</w:t>
      </w:r>
      <w:r w:rsidDel="00000000" w:rsidR="00000000" w:rsidRPr="00000000">
        <w:rPr>
          <w:vertAlign w:val="superscript"/>
          <w:rtl w:val="0"/>
        </w:rPr>
        <w:t xml:space="preserve">th</w:t>
      </w:r>
      <w:r w:rsidDel="00000000" w:rsidR="00000000" w:rsidRPr="00000000">
        <w:rPr>
          <w:rtl w:val="0"/>
        </w:rPr>
        <w:t xml:space="preserve"> month of the recertification process. Case worker will begin working case and already have this data pulled. To be released in 2</w:t>
      </w:r>
      <w:r w:rsidDel="00000000" w:rsidR="00000000" w:rsidRPr="00000000">
        <w:rPr>
          <w:vertAlign w:val="superscript"/>
          <w:rtl w:val="0"/>
        </w:rPr>
        <w:t xml:space="preserve">nd</w:t>
      </w:r>
      <w:r w:rsidDel="00000000" w:rsidR="00000000" w:rsidRPr="00000000">
        <w:rPr>
          <w:rtl w:val="0"/>
        </w:rPr>
        <w:t xml:space="preserve"> quarter of 2024.</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E14 waiver for non-MAGI cases – question asked about Adult and PLA cases for extensions – no update at this time will check.</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Termination notices – for 8110s – be sure to select the correct termination reason. Reasons are being selected for failure to cooperate with child support and failure to apply for all benefits which is incorrect – we are under a waiver. Working to hide those options so that case managers cannot select them. We must reopen if terminated for those reasons. If the correct termination reason is not present in NC Fast, send help ticket which will help NC Fast to update necessary reasons. If you are given guidance to send a notice outside of NC Fast, use the most up to date form and you must upload the notice into NC Fast. Failure to do this will result in corrective action.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As an example, ABD/PLA that are failing to provide resources or no longer meeting disability rules however eligible for MXP (if not eligible for ABD any longer) a new outcome in NC Fast will allow an adequate notice to be generated to end ABD and approve MXP.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FPP to MXP – if a recert was due and no longer eligible for MXP – 2187’s had not been sent and case workers could not reduce or terminate until 2187 sent. 2187 batch does not pick up until w/in 180 days. Case workers need to go in and extend cases for 6 months allowing 2187 batch to pick up. At end of 6 months. Complete a new recert and the react.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FFM applications coming across to wrong counties – counties having issues per Sharese.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b w:val="1"/>
        </w:rPr>
      </w:pPr>
      <w:r w:rsidDel="00000000" w:rsidR="00000000" w:rsidRPr="00000000">
        <w:rPr>
          <w:rtl w:val="0"/>
        </w:rPr>
        <w:t xml:space="preserve">FFM-D Will go live (when?) with Jan 22 and Jan 29 training - train supervisors first then case workers. Impacts how processing of cases goes. Essential for supervisors to attend training. </w:t>
      </w:r>
      <w:r w:rsidDel="00000000" w:rsidR="00000000" w:rsidRPr="00000000">
        <w:rPr>
          <w:b w:val="1"/>
          <w:rtl w:val="0"/>
        </w:rPr>
        <w:tab/>
        <w:tab/>
        <w:tab/>
        <w:tab/>
        <w:tab/>
        <w:tab/>
        <w:tab/>
        <w:tab/>
      </w:r>
    </w:p>
    <w:p w:rsidR="00000000" w:rsidDel="00000000" w:rsidP="00000000" w:rsidRDefault="00000000" w:rsidRPr="00000000" w14:paraId="0000001A">
      <w:pPr>
        <w:spacing w:after="0" w:line="240" w:lineRule="auto"/>
        <w:rPr/>
      </w:pPr>
      <w:r w:rsidDel="00000000" w:rsidR="00000000" w:rsidRPr="00000000">
        <w:rPr>
          <w:rtl w:val="0"/>
        </w:rPr>
        <w:t xml:space="preserve">When information comes in from FFM and is incorrect, how do we respond? We will treat as a change in circumstance and caseworkers will react accordingly. </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Question: Due to volume – changes are hard to get to. At what point is this a county responsible overpayment? Gina will take that back. Counties will appreciate considering the volume we are dealing with.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b w:val="1"/>
          <w:u w:val="single"/>
        </w:rPr>
      </w:pPr>
      <w:r w:rsidDel="00000000" w:rsidR="00000000" w:rsidRPr="00000000">
        <w:rPr>
          <w:b w:val="1"/>
          <w:u w:val="single"/>
          <w:rtl w:val="0"/>
        </w:rPr>
        <w:t xml:space="preserve">DCDEE Tania Lee</w:t>
      </w:r>
    </w:p>
    <w:p w:rsidR="00000000" w:rsidDel="00000000" w:rsidP="00000000" w:rsidRDefault="00000000" w:rsidRPr="00000000" w14:paraId="0000001F">
      <w:pPr>
        <w:spacing w:after="0" w:line="240" w:lineRule="auto"/>
        <w:rPr/>
      </w:pPr>
      <w:r w:rsidDel="00000000" w:rsidR="00000000" w:rsidRPr="00000000">
        <w:rPr>
          <w:rtl w:val="0"/>
        </w:rPr>
        <w:t xml:space="preserve">All providers should have reenrolled by 12/31. Can still enroll in the portal to backdate enrollment.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DCDL regarding new application. Improved appearance of application and clarified information in several sections, reformatted. Concern with revisions and not allowing county input. Anticipate a few more minor non-policy changes. Received some feedback from counties, if anyone is interested in discussing the upcoming revisions please email Tania. Submit any feedback, concerns, or suggestions to help desk or rep. For now, can continue to accept the former application. Is ok to use the new application, but keep in mind another new one is coming out.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Non-smart start spending at 83.09 %, smart start at 139.7%, combined 84.45%.</w:t>
      </w:r>
    </w:p>
    <w:p w:rsidR="00000000" w:rsidDel="00000000" w:rsidP="00000000" w:rsidRDefault="00000000" w:rsidRPr="00000000" w14:paraId="00000024">
      <w:pPr>
        <w:spacing w:after="0" w:line="240" w:lineRule="auto"/>
        <w:rPr/>
      </w:pPr>
      <w:r w:rsidDel="00000000" w:rsidR="00000000" w:rsidRPr="00000000">
        <w:rPr>
          <w:rtl w:val="0"/>
        </w:rPr>
      </w:r>
    </w:p>
    <w:sectPr>
      <w:pgSz w:h="15840" w:w="12240" w:orient="portrait"/>
      <w:pgMar w:bottom="990" w:top="810" w:left="117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